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5" w:rsidRDefault="002A5305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02BECC" wp14:editId="0B5E752D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A5305" w:rsidRPr="008F29D2" w:rsidRDefault="00B83014" w:rsidP="00B83014">
      <w:pPr>
        <w:widowControl w:val="0"/>
        <w:tabs>
          <w:tab w:val="left" w:pos="255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Кременки</w:t>
      </w:r>
      <w:proofErr w:type="spellEnd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219" w:rsidRDefault="008F29D2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№ </w:t>
      </w:r>
      <w:r w:rsidR="00755219" w:rsidRPr="00755219">
        <w:rPr>
          <w:rFonts w:ascii="Times New Roman" w:eastAsia="Times New Roman" w:hAnsi="Times New Roman" w:cs="Times New Roman"/>
          <w:sz w:val="24"/>
          <w:szCs w:val="24"/>
        </w:rPr>
        <w:t xml:space="preserve">121- п    от  </w:t>
      </w:r>
    </w:p>
    <w:p w:rsidR="008F29D2" w:rsidRDefault="00755219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5219">
        <w:rPr>
          <w:rFonts w:ascii="Times New Roman" w:eastAsia="Times New Roman" w:hAnsi="Times New Roman" w:cs="Times New Roman"/>
          <w:sz w:val="24"/>
          <w:szCs w:val="24"/>
        </w:rPr>
        <w:t>« 15</w:t>
      </w:r>
      <w:proofErr w:type="gramEnd"/>
      <w:r w:rsidRPr="00755219">
        <w:rPr>
          <w:rFonts w:ascii="Times New Roman" w:eastAsia="Times New Roman" w:hAnsi="Times New Roman" w:cs="Times New Roman"/>
          <w:sz w:val="24"/>
          <w:szCs w:val="24"/>
        </w:rPr>
        <w:t xml:space="preserve"> »  ноября  2012г</w:t>
      </w:r>
      <w:r w:rsidR="008F29D2" w:rsidRPr="008F2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</w:t>
      </w:r>
      <w:r w:rsidR="000A606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F29D2">
        <w:rPr>
          <w:rFonts w:ascii="Times New Roman" w:hAnsi="Times New Roman" w:cs="Times New Roman"/>
          <w:sz w:val="24"/>
          <w:szCs w:val="24"/>
        </w:rPr>
        <w:t xml:space="preserve"> </w:t>
      </w:r>
      <w:r w:rsidR="008F29D2" w:rsidRPr="00104823">
        <w:rPr>
          <w:rFonts w:ascii="Times New Roman" w:hAnsi="Times New Roman" w:cs="Times New Roman"/>
          <w:sz w:val="24"/>
          <w:szCs w:val="24"/>
        </w:rPr>
        <w:t>муниципальн</w:t>
      </w:r>
      <w:r w:rsidR="00DF7F3B">
        <w:rPr>
          <w:rFonts w:ascii="Times New Roman" w:hAnsi="Times New Roman" w:cs="Times New Roman"/>
          <w:sz w:val="24"/>
          <w:szCs w:val="24"/>
        </w:rPr>
        <w:t>ой</w:t>
      </w:r>
      <w:r w:rsidR="008F29D2">
        <w:rPr>
          <w:rFonts w:ascii="Times New Roman" w:hAnsi="Times New Roman" w:cs="Times New Roman"/>
          <w:sz w:val="24"/>
          <w:szCs w:val="24"/>
        </w:rPr>
        <w:t xml:space="preserve"> п</w:t>
      </w:r>
      <w:r w:rsidR="008F29D2" w:rsidRPr="00104823">
        <w:rPr>
          <w:rFonts w:ascii="Times New Roman" w:hAnsi="Times New Roman" w:cs="Times New Roman"/>
          <w:sz w:val="24"/>
          <w:szCs w:val="24"/>
        </w:rPr>
        <w:t>рограмм</w:t>
      </w:r>
      <w:r w:rsidR="00DF7F3B">
        <w:rPr>
          <w:rFonts w:ascii="Times New Roman" w:hAnsi="Times New Roman" w:cs="Times New Roman"/>
          <w:sz w:val="24"/>
          <w:szCs w:val="24"/>
        </w:rPr>
        <w:t>ы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</w:p>
    <w:p w:rsidR="008F29D2" w:rsidRPr="00104823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bookmarkStart w:id="0" w:name="_GoBack"/>
      <w:bookmarkEnd w:id="0"/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2A5305" w:rsidP="008F2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 w:rsidR="008F29D2" w:rsidRPr="008F29D2">
        <w:rPr>
          <w:rFonts w:ascii="Times New Roman" w:eastAsia="Times New Roman" w:hAnsi="Times New Roman" w:cs="Times New Roman"/>
        </w:rPr>
        <w:t xml:space="preserve">« </w:t>
      </w:r>
      <w:r w:rsidR="006E175D">
        <w:rPr>
          <w:rFonts w:ascii="Times New Roman" w:eastAsia="Times New Roman" w:hAnsi="Times New Roman" w:cs="Times New Roman"/>
        </w:rPr>
        <w:t>06</w:t>
      </w:r>
      <w:proofErr w:type="gramEnd"/>
      <w:r w:rsidR="006E175D">
        <w:rPr>
          <w:rFonts w:ascii="Times New Roman" w:eastAsia="Times New Roman" w:hAnsi="Times New Roman" w:cs="Times New Roman"/>
        </w:rPr>
        <w:t xml:space="preserve"> </w:t>
      </w:r>
      <w:r w:rsidR="008F29D2" w:rsidRPr="008F29D2">
        <w:rPr>
          <w:rFonts w:ascii="Times New Roman" w:eastAsia="Times New Roman" w:hAnsi="Times New Roman" w:cs="Times New Roman"/>
        </w:rPr>
        <w:t xml:space="preserve">» </w:t>
      </w:r>
      <w:r w:rsidR="006043AF">
        <w:rPr>
          <w:rFonts w:ascii="Times New Roman" w:eastAsia="Times New Roman" w:hAnsi="Times New Roman" w:cs="Times New Roman"/>
        </w:rPr>
        <w:t xml:space="preserve">марта </w:t>
      </w:r>
      <w:r w:rsidR="008F29D2" w:rsidRPr="008F29D2">
        <w:rPr>
          <w:rFonts w:ascii="Times New Roman" w:eastAsia="Times New Roman" w:hAnsi="Times New Roman" w:cs="Times New Roman"/>
        </w:rPr>
        <w:t xml:space="preserve"> 20</w:t>
      </w:r>
      <w:r w:rsidR="00B83014">
        <w:rPr>
          <w:rFonts w:ascii="Times New Roman" w:eastAsia="Times New Roman" w:hAnsi="Times New Roman" w:cs="Times New Roman"/>
        </w:rPr>
        <w:t xml:space="preserve">20 </w:t>
      </w:r>
      <w:r w:rsidR="008F29D2" w:rsidRPr="008F29D2">
        <w:rPr>
          <w:rFonts w:ascii="Times New Roman" w:eastAsia="Times New Roman" w:hAnsi="Times New Roman" w:cs="Times New Roman"/>
        </w:rPr>
        <w:t xml:space="preserve">г.                                                                                </w:t>
      </w:r>
      <w:proofErr w:type="gramStart"/>
      <w:r w:rsidR="008F29D2"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175D" w:rsidRPr="006E17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</w:t>
      </w:r>
      <w:proofErr w:type="gramEnd"/>
      <w:r w:rsidR="006E175D" w:rsidRPr="006E17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-п</w:t>
      </w:r>
    </w:p>
    <w:p w:rsidR="002A5305" w:rsidRDefault="002A5305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F29D2">
        <w:rPr>
          <w:rFonts w:ascii="Times New Roman" w:eastAsia="Times New Roman" w:hAnsi="Times New Roman" w:cs="Times New Roman"/>
        </w:rPr>
        <w:t>г.Кремёнки</w:t>
      </w:r>
      <w:proofErr w:type="spellEnd"/>
    </w:p>
    <w:p w:rsidR="008F29D2" w:rsidRPr="008F29D2" w:rsidRDefault="008F29D2" w:rsidP="008F29D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F7F3B" w:rsidRPr="00104823" w:rsidRDefault="008F29D2" w:rsidP="00DF7F3B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8F29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утвержденном постановлением Администрации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в целях повышения 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управления общественными финансами в мун</w:t>
      </w:r>
      <w:r w:rsidR="00DF7F3B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75521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t xml:space="preserve"> 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Городской Думы от 25.12.2018г. «О бюджете МО ГП «Город </w:t>
      </w:r>
      <w:proofErr w:type="spellStart"/>
      <w:proofErr w:type="gramStart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  </w:t>
      </w:r>
      <w:proofErr w:type="gram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на 2019 год и плановый период 2020,2021 и 2022 годов»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06C" w:rsidRP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изменения в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755219"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1E22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End"/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55219">
        <w:rPr>
          <w:rFonts w:ascii="Times New Roman" w:eastAsia="Times New Roman" w:hAnsi="Times New Roman" w:cs="Times New Roman"/>
        </w:rPr>
        <w:t>15</w:t>
      </w:r>
      <w:r w:rsidR="008F29D2">
        <w:rPr>
          <w:rFonts w:ascii="Times New Roman" w:eastAsia="Times New Roman" w:hAnsi="Times New Roman" w:cs="Times New Roman"/>
        </w:rPr>
        <w:t xml:space="preserve"> »  </w:t>
      </w:r>
      <w:r w:rsidR="00755219">
        <w:rPr>
          <w:rFonts w:ascii="Times New Roman" w:eastAsia="Times New Roman" w:hAnsi="Times New Roman" w:cs="Times New Roman"/>
        </w:rPr>
        <w:t>ноября</w:t>
      </w:r>
      <w:r w:rsidR="008F29D2">
        <w:rPr>
          <w:rFonts w:ascii="Times New Roman" w:eastAsia="Times New Roman" w:hAnsi="Times New Roman" w:cs="Times New Roman"/>
        </w:rPr>
        <w:t xml:space="preserve">  201</w:t>
      </w:r>
      <w:r w:rsidR="00755219">
        <w:rPr>
          <w:rFonts w:ascii="Times New Roman" w:eastAsia="Times New Roman" w:hAnsi="Times New Roman" w:cs="Times New Roman"/>
        </w:rPr>
        <w:t>2</w:t>
      </w:r>
      <w:r w:rsidR="008F29D2">
        <w:rPr>
          <w:rFonts w:ascii="Times New Roman" w:eastAsia="Times New Roman" w:hAnsi="Times New Roman" w:cs="Times New Roman"/>
        </w:rPr>
        <w:t>г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. «О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, изложи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риложени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№1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новой редакции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83014" w:rsidRDefault="00B83014" w:rsidP="0010482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(обнародовать) настоящее Постановление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</w:t>
      </w:r>
      <w:proofErr w:type="gramStart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Администрации  </w:t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End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Т.Д. Калинкина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 w:rsidP="0010482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Постановлению .</w:t>
      </w:r>
      <w:proofErr w:type="gramEnd"/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Кремёнки»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Кременки» 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</w:t>
      </w:r>
      <w:r w:rsidR="00D06CAF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r w:rsidR="003A3342">
        <w:rPr>
          <w:rFonts w:ascii="Times New Roman" w:eastAsia="Times New Roman" w:hAnsi="Times New Roman" w:cs="Times New Roman"/>
          <w:b/>
          <w:sz w:val="24"/>
        </w:rPr>
        <w:t>2</w:t>
      </w:r>
      <w:r w:rsidR="00D06CAF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годы»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D24AA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6132AD" w:rsidRDefault="00ED24AA" w:rsidP="00ED24AA">
            <w:pPr>
              <w:spacing w:after="0" w:line="240" w:lineRule="auto"/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Администрации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социальным вопросам, культуре, спорту и молодежной политике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  <w:r w:rsidR="00446B88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6CAF">
              <w:rPr>
                <w:rFonts w:ascii="Times New Roman" w:eastAsia="Times New Roman" w:hAnsi="Times New Roman" w:cs="Times New Roman"/>
                <w:b/>
                <w:sz w:val="24"/>
              </w:rPr>
              <w:t>24 015 547 ,45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3A334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2019 год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6 047 800,45</w:t>
            </w:r>
            <w:r w:rsidR="00484883"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3A3342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год -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989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249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3A3342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год -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989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249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D06CAF" w:rsidRDefault="00D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 год - </w:t>
            </w:r>
            <w:r w:rsidRPr="00D06CAF">
              <w:rPr>
                <w:rFonts w:ascii="Times New Roman" w:eastAsia="Times New Roman" w:hAnsi="Times New Roman" w:cs="Times New Roman"/>
                <w:sz w:val="24"/>
              </w:rPr>
              <w:t>5 989 249,00 рублей</w:t>
            </w:r>
          </w:p>
          <w:p w:rsidR="00756D99" w:rsidRPr="003A1173" w:rsidRDefault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8BE" w:rsidRPr="00756D99" w:rsidRDefault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Собственные средства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AD7815" w:rsidRPr="00756D99">
              <w:rPr>
                <w:rFonts w:ascii="Times New Roman" w:eastAsia="Times New Roman" w:hAnsi="Times New Roman" w:cs="Times New Roman"/>
                <w:b/>
                <w:sz w:val="24"/>
              </w:rPr>
              <w:t>2 </w:t>
            </w:r>
            <w:r w:rsidR="00756D99" w:rsidRPr="00756D99">
              <w:rPr>
                <w:rFonts w:ascii="Times New Roman" w:eastAsia="Times New Roman" w:hAnsi="Times New Roman" w:cs="Times New Roman"/>
                <w:b/>
                <w:sz w:val="24"/>
              </w:rPr>
              <w:t>290</w:t>
            </w:r>
            <w:r w:rsidR="00AD7815" w:rsidRPr="00756D99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756D99" w:rsidRPr="00756D99">
              <w:rPr>
                <w:rFonts w:ascii="Times New Roman" w:eastAsia="Times New Roman" w:hAnsi="Times New Roman" w:cs="Times New Roman"/>
                <w:b/>
                <w:sz w:val="24"/>
              </w:rPr>
              <w:t>385</w:t>
            </w:r>
            <w:r w:rsidR="00AD7815" w:rsidRPr="00756D9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756D99" w:rsidRPr="00756D99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руб.</w:t>
            </w:r>
          </w:p>
          <w:p w:rsidR="00756D99" w:rsidRPr="00756D99" w:rsidRDefault="00D06CAF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6D99" w:rsidRPr="00756D99">
              <w:rPr>
                <w:rFonts w:ascii="Times New Roman" w:eastAsia="Times New Roman" w:hAnsi="Times New Roman" w:cs="Times New Roman"/>
                <w:sz w:val="24"/>
              </w:rPr>
              <w:t>2019 год – 565 385,21 рублей</w:t>
            </w:r>
          </w:p>
          <w:p w:rsidR="00756D99" w:rsidRP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2020 год – 570 000,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00  рублей</w:t>
            </w:r>
            <w:proofErr w:type="gramEnd"/>
          </w:p>
          <w:p w:rsidR="00756D99" w:rsidRP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год  -</w:t>
            </w:r>
            <w:proofErr w:type="gramEnd"/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575 000,00   рублей</w:t>
            </w:r>
          </w:p>
          <w:p w:rsidR="00756D99" w:rsidRP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2022 год - 580 000,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00  рублей</w:t>
            </w:r>
            <w:proofErr w:type="gramEnd"/>
          </w:p>
          <w:p w:rsidR="006132AD" w:rsidRDefault="00433B34" w:rsidP="00756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результате реализации Программы к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 предполагается: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0,10%  граждан систематически занимающихся физической культурой и спортом к уровню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0,01%  граждан с ограниченными возможностями здоровья и инвалидов,  систематически занимающиеся физической культурой и спортом к уровню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года;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49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533"/>
        <w:gridCol w:w="146"/>
        <w:gridCol w:w="1785"/>
        <w:gridCol w:w="1613"/>
        <w:gridCol w:w="851"/>
        <w:gridCol w:w="850"/>
        <w:gridCol w:w="992"/>
      </w:tblGrid>
      <w:tr w:rsidR="00304EA6" w:rsidTr="00C52FFC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304EA6" w:rsidRDefault="00304EA6" w:rsidP="00C52F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(оценка)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143E30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D06C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спорта на 201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F654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возможностями здоровья и инвалидов, систематически 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физкультурой и спортом к численности данной категории населения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C52FF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201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высокой гражданской ответственности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,</w:t>
      </w:r>
      <w:r w:rsidR="00910E07" w:rsidRP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патриотизма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и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табакокурению,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</w:t>
      </w:r>
      <w:r w:rsidR="00C52FF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lastRenderedPageBreak/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характер,   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поселении "Город Кременки".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201</w:t>
      </w:r>
      <w:r w:rsidR="00756D99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</w:t>
      </w:r>
      <w:r w:rsidR="003A3342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756D99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6132AD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Финансирование Программы будет осуществляться за счет средств   бюджета МО ГП  «Город Кременки»,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298"/>
        <w:gridCol w:w="1640"/>
        <w:gridCol w:w="1945"/>
        <w:gridCol w:w="1909"/>
      </w:tblGrid>
      <w:tr w:rsidR="006132AD" w:rsidTr="009C2677">
        <w:trPr>
          <w:trHeight w:val="269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</w:tc>
        <w:tc>
          <w:tcPr>
            <w:tcW w:w="5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6132AD" w:rsidTr="009C2677">
        <w:trPr>
          <w:trHeight w:val="509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</w:tr>
      <w:tr w:rsidR="006132AD" w:rsidTr="009C2677">
        <w:trPr>
          <w:trHeight w:val="1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3A1173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спортивно-оздоровительное учреждение 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A3342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Default="003A3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Pr="003A3342" w:rsidRDefault="003A3342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Pr="003A3342" w:rsidRDefault="00756D99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6 613 185,66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Pr="003A3342" w:rsidRDefault="00D06CAF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6 047 800,45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Pr="00615DD0" w:rsidRDefault="00756D99" w:rsidP="0039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565 385,21</w:t>
            </w:r>
          </w:p>
        </w:tc>
      </w:tr>
      <w:tr w:rsidR="00390100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Default="0039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5B0A17" w:rsidRDefault="00390100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615DD0" w:rsidRDefault="00756D99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</w:rPr>
              <w:t>6 559 249,00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43219D" w:rsidRDefault="00390100" w:rsidP="0098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615DD0" w:rsidRDefault="00390100" w:rsidP="00756D99"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D99" w:rsidRPr="00615DD0">
              <w:rPr>
                <w:rFonts w:ascii="Times New Roman" w:hAnsi="Times New Roman" w:cs="Times New Roman"/>
                <w:sz w:val="24"/>
                <w:szCs w:val="24"/>
              </w:rPr>
              <w:t>70 000,0</w:t>
            </w: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100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Default="0039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5B0A17" w:rsidRDefault="00390100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615DD0" w:rsidRDefault="00756D99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</w:rPr>
              <w:t>6 564 249,00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43219D" w:rsidRDefault="00390100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615DD0" w:rsidRDefault="00390100" w:rsidP="00756D99"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D99" w:rsidRPr="00615DD0">
              <w:rPr>
                <w:rFonts w:ascii="Times New Roman" w:hAnsi="Times New Roman" w:cs="Times New Roman"/>
                <w:sz w:val="24"/>
                <w:szCs w:val="24"/>
              </w:rPr>
              <w:t>75 000,0</w:t>
            </w: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CAF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Default="00D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Pr="005B0A17" w:rsidRDefault="00D06CAF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Pr="00615DD0" w:rsidRDefault="0061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6 569 249,00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Pr="003A3342" w:rsidRDefault="00D06CAF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AF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Pr="000C4FC7" w:rsidRDefault="0075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4702A2" w:rsidRDefault="004702A2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6. Система контроля  за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Система контроля  за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повышение   охвата  населения  ГП  «Город  Кременки»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рост результатов, достигнутых спортсменами ГП «Город Кременки» на  районных,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   «Город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том числе и  платных;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- более полное удовлетворение потребностей жителей ГП «Город Кременки»  в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sectPr w:rsidR="006132AD" w:rsidSect="00717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D"/>
    <w:rsid w:val="000A606C"/>
    <w:rsid w:val="00104823"/>
    <w:rsid w:val="00143E30"/>
    <w:rsid w:val="00146380"/>
    <w:rsid w:val="001A2363"/>
    <w:rsid w:val="001E2294"/>
    <w:rsid w:val="002063F4"/>
    <w:rsid w:val="00230FFE"/>
    <w:rsid w:val="00266486"/>
    <w:rsid w:val="0026757C"/>
    <w:rsid w:val="002A5305"/>
    <w:rsid w:val="002C25D4"/>
    <w:rsid w:val="002E48BE"/>
    <w:rsid w:val="00304EA6"/>
    <w:rsid w:val="00350504"/>
    <w:rsid w:val="0038392B"/>
    <w:rsid w:val="00390100"/>
    <w:rsid w:val="00392B53"/>
    <w:rsid w:val="003A1173"/>
    <w:rsid w:val="003A3342"/>
    <w:rsid w:val="003B044B"/>
    <w:rsid w:val="0043219D"/>
    <w:rsid w:val="00433B34"/>
    <w:rsid w:val="00446B88"/>
    <w:rsid w:val="004702A2"/>
    <w:rsid w:val="0047599A"/>
    <w:rsid w:val="00484883"/>
    <w:rsid w:val="004C592D"/>
    <w:rsid w:val="005B0A17"/>
    <w:rsid w:val="006043AF"/>
    <w:rsid w:val="006132AD"/>
    <w:rsid w:val="00615DD0"/>
    <w:rsid w:val="00643D89"/>
    <w:rsid w:val="00651A1C"/>
    <w:rsid w:val="006A3203"/>
    <w:rsid w:val="006E175D"/>
    <w:rsid w:val="00715F55"/>
    <w:rsid w:val="00717AE1"/>
    <w:rsid w:val="00755219"/>
    <w:rsid w:val="00756D99"/>
    <w:rsid w:val="007853E6"/>
    <w:rsid w:val="00824F9D"/>
    <w:rsid w:val="00856B0D"/>
    <w:rsid w:val="008F29D2"/>
    <w:rsid w:val="00910E07"/>
    <w:rsid w:val="0098273C"/>
    <w:rsid w:val="009B5286"/>
    <w:rsid w:val="009C2677"/>
    <w:rsid w:val="00AD7815"/>
    <w:rsid w:val="00B22C52"/>
    <w:rsid w:val="00B83014"/>
    <w:rsid w:val="00C10D70"/>
    <w:rsid w:val="00C52FFC"/>
    <w:rsid w:val="00C6333D"/>
    <w:rsid w:val="00D06CAF"/>
    <w:rsid w:val="00D30000"/>
    <w:rsid w:val="00DA1097"/>
    <w:rsid w:val="00DB6026"/>
    <w:rsid w:val="00DF6543"/>
    <w:rsid w:val="00DF7F3B"/>
    <w:rsid w:val="00ED24AA"/>
    <w:rsid w:val="00F228C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6912"/>
  <w15:docId w15:val="{8CAB7CC8-0E92-46CC-8D2C-28194DF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7</cp:revision>
  <cp:lastPrinted>2020-03-23T11:32:00Z</cp:lastPrinted>
  <dcterms:created xsi:type="dcterms:W3CDTF">2020-02-19T11:05:00Z</dcterms:created>
  <dcterms:modified xsi:type="dcterms:W3CDTF">2020-04-13T13:01:00Z</dcterms:modified>
</cp:coreProperties>
</file>